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9E35" w14:textId="77777777" w:rsidR="002A1168" w:rsidRDefault="002A1168" w:rsidP="00A854AE">
      <w:pPr>
        <w:spacing w:before="100" w:beforeAutospacing="1" w:after="100" w:afterAutospacing="1" w:line="240" w:lineRule="auto"/>
        <w:contextualSpacing/>
        <w:rPr>
          <w:rFonts w:asciiTheme="minorHAnsi" w:hAnsiTheme="minorHAnsi"/>
          <w:b/>
          <w:bCs/>
        </w:rPr>
      </w:pPr>
    </w:p>
    <w:p w14:paraId="0F762D90" w14:textId="77777777" w:rsidR="00267374" w:rsidRDefault="00267374" w:rsidP="00267374">
      <w:pPr>
        <w:spacing w:before="100" w:beforeAutospacing="1" w:after="100" w:afterAutospacing="1" w:line="240" w:lineRule="auto"/>
        <w:contextualSpacing/>
        <w:jc w:val="center"/>
        <w:rPr>
          <w:rFonts w:asciiTheme="minorHAnsi" w:hAnsiTheme="minorHAnsi"/>
          <w:b/>
          <w:bCs/>
        </w:rPr>
      </w:pPr>
      <w:r w:rsidRPr="009B0839">
        <w:rPr>
          <w:rFonts w:asciiTheme="minorHAnsi" w:hAnsiTheme="minorHAnsi"/>
          <w:b/>
          <w:bCs/>
        </w:rPr>
        <w:t>Frequently Asked Questions (“FAQs”)</w:t>
      </w:r>
    </w:p>
    <w:p w14:paraId="2195F6C8" w14:textId="77777777" w:rsidR="00F66951" w:rsidRPr="009B0839" w:rsidRDefault="00F66951" w:rsidP="00F66951">
      <w:pPr>
        <w:spacing w:before="100" w:beforeAutospacing="1" w:after="100" w:afterAutospacing="1" w:line="240" w:lineRule="auto"/>
        <w:contextualSpacing/>
        <w:rPr>
          <w:rFonts w:asciiTheme="minorHAnsi" w:hAnsiTheme="minorHAnsi"/>
          <w:b/>
          <w:bCs/>
        </w:rPr>
      </w:pPr>
    </w:p>
    <w:p w14:paraId="0F762D91" w14:textId="77777777" w:rsidR="00267374" w:rsidRPr="00311EF5" w:rsidRDefault="00267374" w:rsidP="00267374">
      <w:pPr>
        <w:spacing w:before="100" w:beforeAutospacing="1" w:after="100" w:afterAutospacing="1" w:line="240" w:lineRule="auto"/>
        <w:contextualSpacing/>
        <w:jc w:val="center"/>
        <w:rPr>
          <w:rFonts w:asciiTheme="minorHAnsi" w:hAnsiTheme="minorHAnsi"/>
          <w:b/>
          <w:bCs/>
        </w:rPr>
      </w:pPr>
    </w:p>
    <w:p w14:paraId="0F762D93" w14:textId="77777777" w:rsidR="00A6409B" w:rsidRPr="00311EF5" w:rsidRDefault="00A6409B" w:rsidP="00A6409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/>
          <w:b/>
          <w:bCs/>
        </w:rPr>
      </w:pPr>
      <w:r w:rsidRPr="00311EF5">
        <w:rPr>
          <w:rFonts w:asciiTheme="minorHAnsi" w:hAnsiTheme="minorHAnsi"/>
          <w:b/>
          <w:bCs/>
        </w:rPr>
        <w:t>Why have I received a letter?</w:t>
      </w:r>
    </w:p>
    <w:p w14:paraId="0F762D94" w14:textId="77777777" w:rsidR="00A6409B" w:rsidRDefault="00A6409B" w:rsidP="00A6409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Cs/>
        </w:rPr>
      </w:pPr>
    </w:p>
    <w:p w14:paraId="787BBF8E" w14:textId="0A240ECC" w:rsidR="00CA6F1A" w:rsidRDefault="00E6166E" w:rsidP="00263BA3">
      <w:pPr>
        <w:spacing w:before="100" w:beforeAutospacing="1" w:after="100" w:afterAutospacing="1"/>
        <w:ind w:left="720"/>
        <w:contextualSpacing/>
        <w:jc w:val="both"/>
        <w:rPr>
          <w:rFonts w:asciiTheme="minorHAnsi" w:hAnsiTheme="minorHAnsi"/>
        </w:rPr>
      </w:pPr>
      <w:r w:rsidRPr="00E7676B">
        <w:rPr>
          <w:rFonts w:asciiTheme="minorHAnsi" w:hAnsiTheme="minorHAnsi"/>
        </w:rPr>
        <w:t>We are writing to inform y</w:t>
      </w:r>
      <w:r w:rsidR="00495D23" w:rsidRPr="00E7676B">
        <w:rPr>
          <w:rFonts w:asciiTheme="minorHAnsi" w:hAnsiTheme="minorHAnsi"/>
        </w:rPr>
        <w:t xml:space="preserve">ou of some changes in the way </w:t>
      </w:r>
      <w:r w:rsidR="008458A3" w:rsidRPr="00E7676B">
        <w:rPr>
          <w:rFonts w:asciiTheme="minorHAnsi" w:hAnsiTheme="minorHAnsi"/>
        </w:rPr>
        <w:t xml:space="preserve">your insurer, </w:t>
      </w:r>
      <w:r w:rsidR="00495D23" w:rsidRPr="00E7676B">
        <w:rPr>
          <w:rFonts w:asciiTheme="minorHAnsi" w:hAnsiTheme="minorHAnsi"/>
        </w:rPr>
        <w:t>Pen</w:t>
      </w:r>
      <w:r w:rsidRPr="00E7676B">
        <w:rPr>
          <w:rFonts w:asciiTheme="minorHAnsi" w:hAnsiTheme="minorHAnsi"/>
        </w:rPr>
        <w:t xml:space="preserve"> </w:t>
      </w:r>
      <w:r w:rsidR="008458A3" w:rsidRPr="00E7676B">
        <w:rPr>
          <w:rFonts w:asciiTheme="minorHAnsi" w:hAnsiTheme="minorHAnsi"/>
        </w:rPr>
        <w:t>Underwriting Limited (“</w:t>
      </w:r>
      <w:r w:rsidR="008458A3" w:rsidRPr="00E7676B">
        <w:rPr>
          <w:rFonts w:asciiTheme="minorHAnsi" w:hAnsiTheme="minorHAnsi"/>
          <w:b/>
        </w:rPr>
        <w:t>Pen UK</w:t>
      </w:r>
      <w:r w:rsidR="008458A3" w:rsidRPr="00E7676B">
        <w:rPr>
          <w:rFonts w:asciiTheme="minorHAnsi" w:hAnsiTheme="minorHAnsi"/>
        </w:rPr>
        <w:t>”) may need to provide your policies</w:t>
      </w:r>
      <w:r w:rsidRPr="00E7676B">
        <w:rPr>
          <w:rFonts w:asciiTheme="minorHAnsi" w:hAnsiTheme="minorHAnsi"/>
        </w:rPr>
        <w:t xml:space="preserve"> after </w:t>
      </w:r>
      <w:r w:rsidR="00B3019C" w:rsidRPr="00E7676B">
        <w:rPr>
          <w:rFonts w:asciiTheme="minorHAnsi" w:hAnsiTheme="minorHAnsi"/>
        </w:rPr>
        <w:t xml:space="preserve">the UK leaves the </w:t>
      </w:r>
      <w:r w:rsidR="00A45FA5" w:rsidRPr="00E7676B">
        <w:rPr>
          <w:rFonts w:asciiTheme="minorHAnsi" w:hAnsiTheme="minorHAnsi"/>
        </w:rPr>
        <w:t>European Union (“</w:t>
      </w:r>
      <w:r w:rsidR="00A45FA5" w:rsidRPr="00E7676B">
        <w:rPr>
          <w:rFonts w:asciiTheme="minorHAnsi" w:hAnsiTheme="minorHAnsi"/>
          <w:b/>
        </w:rPr>
        <w:t>EU</w:t>
      </w:r>
      <w:r w:rsidR="00A45FA5" w:rsidRPr="00E7676B">
        <w:rPr>
          <w:rFonts w:asciiTheme="minorHAnsi" w:hAnsiTheme="minorHAnsi"/>
        </w:rPr>
        <w:t>”)</w:t>
      </w:r>
      <w:r w:rsidR="00B3019C" w:rsidRPr="00E7676B">
        <w:rPr>
          <w:rFonts w:asciiTheme="minorHAnsi" w:hAnsiTheme="minorHAnsi"/>
        </w:rPr>
        <w:t xml:space="preserve"> (commonly referred to as “</w:t>
      </w:r>
      <w:r w:rsidR="00B3019C" w:rsidRPr="00E7676B">
        <w:rPr>
          <w:rFonts w:asciiTheme="minorHAnsi" w:hAnsiTheme="minorHAnsi"/>
          <w:b/>
        </w:rPr>
        <w:t>Brexit</w:t>
      </w:r>
      <w:r w:rsidR="00B3019C" w:rsidRPr="00E7676B">
        <w:rPr>
          <w:rFonts w:asciiTheme="minorHAnsi" w:hAnsiTheme="minorHAnsi"/>
        </w:rPr>
        <w:t>”).</w:t>
      </w:r>
      <w:r w:rsidR="00B3019C">
        <w:rPr>
          <w:rFonts w:asciiTheme="minorHAnsi" w:hAnsiTheme="minorHAnsi"/>
        </w:rPr>
        <w:t xml:space="preserve"> </w:t>
      </w:r>
      <w:r w:rsidR="00714AB3" w:rsidRPr="00714AB3">
        <w:rPr>
          <w:rFonts w:asciiTheme="minorHAnsi" w:hAnsiTheme="minorHAnsi"/>
        </w:rPr>
        <w:t xml:space="preserve">After Brexit, </w:t>
      </w:r>
      <w:r w:rsidR="005658ED">
        <w:rPr>
          <w:rFonts w:asciiTheme="minorHAnsi" w:hAnsiTheme="minorHAnsi"/>
        </w:rPr>
        <w:t>the UK</w:t>
      </w:r>
      <w:r w:rsidR="00714AB3" w:rsidRPr="00714AB3">
        <w:rPr>
          <w:rFonts w:asciiTheme="minorHAnsi" w:hAnsiTheme="minorHAnsi"/>
        </w:rPr>
        <w:t xml:space="preserve"> will no longer be part of the EU and passporting rights</w:t>
      </w:r>
      <w:r w:rsidR="00495D23">
        <w:rPr>
          <w:rFonts w:asciiTheme="minorHAnsi" w:hAnsiTheme="minorHAnsi"/>
        </w:rPr>
        <w:t xml:space="preserve"> </w:t>
      </w:r>
      <w:r w:rsidR="008458A3">
        <w:rPr>
          <w:rFonts w:asciiTheme="minorHAnsi" w:hAnsiTheme="minorHAnsi"/>
        </w:rPr>
        <w:t>may</w:t>
      </w:r>
      <w:r w:rsidR="00495D23">
        <w:rPr>
          <w:rFonts w:asciiTheme="minorHAnsi" w:hAnsiTheme="minorHAnsi"/>
        </w:rPr>
        <w:t xml:space="preserve"> no longer be available to</w:t>
      </w:r>
      <w:r w:rsidR="005658ED">
        <w:rPr>
          <w:rFonts w:asciiTheme="minorHAnsi" w:hAnsiTheme="minorHAnsi"/>
        </w:rPr>
        <w:t xml:space="preserve"> UK entities</w:t>
      </w:r>
      <w:r w:rsidR="00495D23">
        <w:rPr>
          <w:rFonts w:asciiTheme="minorHAnsi" w:hAnsiTheme="minorHAnsi"/>
        </w:rPr>
        <w:t>. Pen</w:t>
      </w:r>
      <w:r w:rsidR="00714AB3" w:rsidRPr="00714AB3">
        <w:rPr>
          <w:rFonts w:asciiTheme="minorHAnsi" w:hAnsiTheme="minorHAnsi"/>
        </w:rPr>
        <w:t xml:space="preserve"> therefore need</w:t>
      </w:r>
      <w:r w:rsidR="00495D23">
        <w:rPr>
          <w:rFonts w:asciiTheme="minorHAnsi" w:hAnsiTheme="minorHAnsi"/>
        </w:rPr>
        <w:t>s</w:t>
      </w:r>
      <w:r w:rsidR="00714AB3" w:rsidRPr="00714AB3">
        <w:rPr>
          <w:rFonts w:asciiTheme="minorHAnsi" w:hAnsiTheme="minorHAnsi"/>
        </w:rPr>
        <w:t xml:space="preserve"> to make some changes</w:t>
      </w:r>
      <w:r w:rsidR="00A63B90">
        <w:rPr>
          <w:rFonts w:asciiTheme="minorHAnsi" w:hAnsiTheme="minorHAnsi"/>
        </w:rPr>
        <w:t xml:space="preserve"> to the way in which </w:t>
      </w:r>
      <w:r w:rsidR="00495D23">
        <w:rPr>
          <w:rFonts w:asciiTheme="minorHAnsi" w:hAnsiTheme="minorHAnsi"/>
        </w:rPr>
        <w:t>it provides policies</w:t>
      </w:r>
      <w:r w:rsidR="00A63B90">
        <w:rPr>
          <w:rFonts w:asciiTheme="minorHAnsi" w:hAnsiTheme="minorHAnsi"/>
        </w:rPr>
        <w:t xml:space="preserve"> to you</w:t>
      </w:r>
      <w:r w:rsidR="00714AB3" w:rsidRPr="00714AB3">
        <w:rPr>
          <w:rFonts w:asciiTheme="minorHAnsi" w:hAnsiTheme="minorHAnsi"/>
        </w:rPr>
        <w:t>. Since you are a customer located in the EU, t</w:t>
      </w:r>
      <w:r w:rsidR="00714AB3">
        <w:rPr>
          <w:rFonts w:asciiTheme="minorHAnsi" w:hAnsiTheme="minorHAnsi"/>
        </w:rPr>
        <w:t>he</w:t>
      </w:r>
      <w:r w:rsidR="00714AB3" w:rsidRPr="00714AB3">
        <w:rPr>
          <w:rFonts w:asciiTheme="minorHAnsi" w:hAnsiTheme="minorHAnsi"/>
        </w:rPr>
        <w:t xml:space="preserve"> </w:t>
      </w:r>
      <w:r w:rsidR="002334E8">
        <w:rPr>
          <w:rFonts w:asciiTheme="minorHAnsi" w:hAnsiTheme="minorHAnsi"/>
        </w:rPr>
        <w:t>policies</w:t>
      </w:r>
      <w:r w:rsidR="0089483A">
        <w:rPr>
          <w:rFonts w:asciiTheme="minorHAnsi" w:hAnsiTheme="minorHAnsi"/>
        </w:rPr>
        <w:t xml:space="preserve"> currently </w:t>
      </w:r>
      <w:r w:rsidR="0089483A" w:rsidRPr="0089483A">
        <w:rPr>
          <w:rFonts w:asciiTheme="minorHAnsi" w:hAnsiTheme="minorHAnsi"/>
        </w:rPr>
        <w:t xml:space="preserve">provided to you by </w:t>
      </w:r>
      <w:r w:rsidR="00495D23" w:rsidRPr="002334E8">
        <w:rPr>
          <w:rFonts w:asciiTheme="minorHAnsi" w:hAnsiTheme="minorHAnsi"/>
        </w:rPr>
        <w:t>Pen UK</w:t>
      </w:r>
      <w:r w:rsidR="00714AB3" w:rsidRPr="00714AB3">
        <w:rPr>
          <w:rFonts w:asciiTheme="minorHAnsi" w:hAnsiTheme="minorHAnsi"/>
        </w:rPr>
        <w:t xml:space="preserve"> </w:t>
      </w:r>
      <w:r w:rsidR="008458A3">
        <w:rPr>
          <w:rFonts w:asciiTheme="minorHAnsi" w:hAnsiTheme="minorHAnsi"/>
        </w:rPr>
        <w:t>may</w:t>
      </w:r>
      <w:r w:rsidR="00FD2FE7">
        <w:rPr>
          <w:rFonts w:asciiTheme="minorHAnsi" w:hAnsiTheme="minorHAnsi"/>
        </w:rPr>
        <w:t xml:space="preserve"> </w:t>
      </w:r>
      <w:r w:rsidR="0089483A" w:rsidRPr="0089483A">
        <w:rPr>
          <w:rFonts w:asciiTheme="minorHAnsi" w:hAnsiTheme="minorHAnsi"/>
        </w:rPr>
        <w:t xml:space="preserve">need to be provided </w:t>
      </w:r>
      <w:r w:rsidR="00714AB3">
        <w:rPr>
          <w:rFonts w:asciiTheme="minorHAnsi" w:hAnsiTheme="minorHAnsi"/>
        </w:rPr>
        <w:t xml:space="preserve">to you </w:t>
      </w:r>
      <w:r w:rsidR="0089483A" w:rsidRPr="0089483A">
        <w:rPr>
          <w:rFonts w:asciiTheme="minorHAnsi" w:hAnsiTheme="minorHAnsi"/>
        </w:rPr>
        <w:t>t</w:t>
      </w:r>
      <w:r w:rsidR="0089483A">
        <w:rPr>
          <w:rFonts w:asciiTheme="minorHAnsi" w:hAnsiTheme="minorHAnsi"/>
        </w:rPr>
        <w:t xml:space="preserve">hrough another </w:t>
      </w:r>
      <w:r w:rsidR="00495D23">
        <w:rPr>
          <w:rFonts w:asciiTheme="minorHAnsi" w:hAnsiTheme="minorHAnsi"/>
        </w:rPr>
        <w:t xml:space="preserve">Pen </w:t>
      </w:r>
      <w:r w:rsidR="0089483A">
        <w:rPr>
          <w:rFonts w:asciiTheme="minorHAnsi" w:hAnsiTheme="minorHAnsi"/>
        </w:rPr>
        <w:t>company</w:t>
      </w:r>
      <w:r w:rsidR="00714AB3">
        <w:rPr>
          <w:rFonts w:asciiTheme="minorHAnsi" w:hAnsiTheme="minorHAnsi"/>
        </w:rPr>
        <w:t xml:space="preserve"> in the EU</w:t>
      </w:r>
      <w:r w:rsidR="0089483A">
        <w:rPr>
          <w:rFonts w:asciiTheme="minorHAnsi" w:hAnsiTheme="minorHAnsi"/>
        </w:rPr>
        <w:t>.</w:t>
      </w:r>
    </w:p>
    <w:p w14:paraId="0385B6DC" w14:textId="77777777" w:rsidR="00CA6F1A" w:rsidRDefault="00CA6F1A" w:rsidP="00263BA3">
      <w:pPr>
        <w:spacing w:before="100" w:beforeAutospacing="1" w:after="100" w:afterAutospacing="1"/>
        <w:ind w:left="720"/>
        <w:contextualSpacing/>
        <w:jc w:val="both"/>
        <w:rPr>
          <w:rFonts w:asciiTheme="minorHAnsi" w:hAnsiTheme="minorHAnsi"/>
        </w:rPr>
      </w:pPr>
    </w:p>
    <w:p w14:paraId="12175ACD" w14:textId="473CF588" w:rsidR="007813C9" w:rsidRDefault="007813C9" w:rsidP="00263BA3">
      <w:pPr>
        <w:spacing w:before="100" w:beforeAutospacing="1" w:after="100" w:afterAutospacing="1"/>
        <w:ind w:left="720"/>
        <w:contextualSpacing/>
        <w:jc w:val="both"/>
        <w:rPr>
          <w:rFonts w:asciiTheme="minorHAnsi" w:hAnsiTheme="minorHAnsi"/>
        </w:rPr>
      </w:pPr>
      <w:r w:rsidRPr="007813C9">
        <w:rPr>
          <w:rFonts w:asciiTheme="minorHAnsi" w:hAnsiTheme="minorHAnsi"/>
        </w:rPr>
        <w:t xml:space="preserve">That other </w:t>
      </w:r>
      <w:r w:rsidR="008458A3">
        <w:rPr>
          <w:rFonts w:asciiTheme="minorHAnsi" w:hAnsiTheme="minorHAnsi"/>
        </w:rPr>
        <w:t xml:space="preserve">group </w:t>
      </w:r>
      <w:r w:rsidRPr="007813C9">
        <w:rPr>
          <w:rFonts w:asciiTheme="minorHAnsi" w:hAnsiTheme="minorHAnsi"/>
        </w:rPr>
        <w:t xml:space="preserve">company is Nordic </w:t>
      </w:r>
      <w:proofErr w:type="spellStart"/>
      <w:r w:rsidRPr="007813C9">
        <w:rPr>
          <w:rFonts w:asciiTheme="minorHAnsi" w:hAnsiTheme="minorHAnsi"/>
        </w:rPr>
        <w:t>Försäkring</w:t>
      </w:r>
      <w:proofErr w:type="spellEnd"/>
      <w:r w:rsidRPr="007813C9">
        <w:rPr>
          <w:rFonts w:asciiTheme="minorHAnsi" w:hAnsiTheme="minorHAnsi"/>
        </w:rPr>
        <w:t xml:space="preserve"> &amp; </w:t>
      </w:r>
      <w:proofErr w:type="spellStart"/>
      <w:r w:rsidRPr="007813C9">
        <w:rPr>
          <w:rFonts w:asciiTheme="minorHAnsi" w:hAnsiTheme="minorHAnsi"/>
        </w:rPr>
        <w:t>Riskhantering</w:t>
      </w:r>
      <w:proofErr w:type="spellEnd"/>
      <w:r w:rsidRPr="007813C9">
        <w:rPr>
          <w:rFonts w:asciiTheme="minorHAnsi" w:hAnsiTheme="minorHAnsi"/>
        </w:rPr>
        <w:t xml:space="preserve"> AB (“</w:t>
      </w:r>
      <w:r w:rsidRPr="007813C9">
        <w:rPr>
          <w:rFonts w:asciiTheme="minorHAnsi" w:hAnsiTheme="minorHAnsi"/>
          <w:b/>
        </w:rPr>
        <w:t>Nordic</w:t>
      </w:r>
      <w:r w:rsidRPr="007813C9">
        <w:rPr>
          <w:rFonts w:asciiTheme="minorHAnsi" w:hAnsiTheme="minorHAnsi"/>
        </w:rPr>
        <w:t xml:space="preserve">”), which is authorised in Sweden by the Swedish regulator, the </w:t>
      </w:r>
      <w:proofErr w:type="spellStart"/>
      <w:r w:rsidRPr="007813C9">
        <w:rPr>
          <w:rFonts w:asciiTheme="minorHAnsi" w:hAnsiTheme="minorHAnsi"/>
        </w:rPr>
        <w:t>Finansinspektionen</w:t>
      </w:r>
      <w:proofErr w:type="spellEnd"/>
      <w:r w:rsidRPr="007813C9">
        <w:rPr>
          <w:rFonts w:asciiTheme="minorHAnsi" w:hAnsiTheme="minorHAnsi"/>
        </w:rPr>
        <w:t xml:space="preserve">. Nordic holds the appropriate </w:t>
      </w:r>
      <w:r w:rsidR="00714AB3">
        <w:rPr>
          <w:rFonts w:asciiTheme="minorHAnsi" w:hAnsiTheme="minorHAnsi"/>
        </w:rPr>
        <w:t>passporting rights</w:t>
      </w:r>
      <w:r w:rsidR="00714AB3" w:rsidRPr="007813C9">
        <w:rPr>
          <w:rFonts w:asciiTheme="minorHAnsi" w:hAnsiTheme="minorHAnsi"/>
        </w:rPr>
        <w:t xml:space="preserve"> </w:t>
      </w:r>
      <w:r w:rsidRPr="007813C9">
        <w:rPr>
          <w:rFonts w:asciiTheme="minorHAnsi" w:hAnsiTheme="minorHAnsi"/>
        </w:rPr>
        <w:t xml:space="preserve">to operate in all </w:t>
      </w:r>
      <w:r w:rsidR="00714AB3">
        <w:rPr>
          <w:rFonts w:asciiTheme="minorHAnsi" w:hAnsiTheme="minorHAnsi"/>
        </w:rPr>
        <w:t>EU</w:t>
      </w:r>
      <w:r w:rsidRPr="007813C9">
        <w:rPr>
          <w:rFonts w:asciiTheme="minorHAnsi" w:hAnsiTheme="minorHAnsi"/>
        </w:rPr>
        <w:t xml:space="preserve"> territories post-Brexit</w:t>
      </w:r>
      <w:r>
        <w:rPr>
          <w:rFonts w:asciiTheme="minorHAnsi" w:hAnsiTheme="minorHAnsi"/>
        </w:rPr>
        <w:t>. A UK branch of Nordic has been established to</w:t>
      </w:r>
      <w:r w:rsidRPr="007813C9">
        <w:rPr>
          <w:rFonts w:asciiTheme="minorHAnsi" w:hAnsiTheme="minorHAnsi"/>
        </w:rPr>
        <w:t xml:space="preserve"> provide you with a seamless continuation of </w:t>
      </w:r>
      <w:r w:rsidR="00495D23">
        <w:rPr>
          <w:rFonts w:asciiTheme="minorHAnsi" w:hAnsiTheme="minorHAnsi"/>
        </w:rPr>
        <w:t>Pen policies</w:t>
      </w:r>
      <w:r w:rsidRPr="007813C9">
        <w:rPr>
          <w:rFonts w:asciiTheme="minorHAnsi" w:hAnsiTheme="minorHAnsi"/>
        </w:rPr>
        <w:t xml:space="preserve"> post-Brexit. </w:t>
      </w:r>
    </w:p>
    <w:p w14:paraId="0672447E" w14:textId="77777777" w:rsidR="007813C9" w:rsidRPr="007813C9" w:rsidRDefault="007813C9" w:rsidP="00263BA3">
      <w:pPr>
        <w:spacing w:before="100" w:beforeAutospacing="1" w:after="100" w:afterAutospacing="1"/>
        <w:ind w:left="720"/>
        <w:contextualSpacing/>
        <w:jc w:val="both"/>
        <w:rPr>
          <w:rFonts w:asciiTheme="minorHAnsi" w:hAnsiTheme="minorHAnsi"/>
        </w:rPr>
      </w:pPr>
    </w:p>
    <w:p w14:paraId="113B92AB" w14:textId="18C0B7BA" w:rsidR="00663514" w:rsidRDefault="00FE41A7" w:rsidP="00263BA3">
      <w:pPr>
        <w:spacing w:before="100" w:beforeAutospacing="1" w:after="100" w:afterAutospacing="1"/>
        <w:ind w:left="720"/>
        <w:contextualSpacing/>
        <w:jc w:val="both"/>
        <w:rPr>
          <w:rFonts w:asciiTheme="minorHAnsi" w:hAnsiTheme="minorHAnsi"/>
        </w:rPr>
      </w:pPr>
      <w:r w:rsidRPr="00714AB3">
        <w:rPr>
          <w:rFonts w:asciiTheme="minorHAnsi" w:hAnsiTheme="minorHAnsi"/>
        </w:rPr>
        <w:t xml:space="preserve">The exact date from which services will need to be performed by </w:t>
      </w:r>
      <w:r w:rsidR="00495D23">
        <w:rPr>
          <w:rFonts w:asciiTheme="minorHAnsi" w:hAnsiTheme="minorHAnsi"/>
        </w:rPr>
        <w:t>Pen Underwriting</w:t>
      </w:r>
      <w:r w:rsidR="00DF188D">
        <w:rPr>
          <w:rFonts w:asciiTheme="minorHAnsi" w:hAnsiTheme="minorHAnsi"/>
        </w:rPr>
        <w:t>, a trading name of Nordic (“</w:t>
      </w:r>
      <w:r w:rsidR="00DF188D" w:rsidRPr="00DF188D">
        <w:rPr>
          <w:rFonts w:asciiTheme="minorHAnsi" w:hAnsiTheme="minorHAnsi"/>
          <w:b/>
        </w:rPr>
        <w:t>Pen Underwriting</w:t>
      </w:r>
      <w:r w:rsidR="00DF188D">
        <w:rPr>
          <w:rFonts w:asciiTheme="minorHAnsi" w:hAnsiTheme="minorHAnsi"/>
        </w:rPr>
        <w:t>”)</w:t>
      </w:r>
      <w:r w:rsidRPr="00714AB3">
        <w:rPr>
          <w:rFonts w:asciiTheme="minorHAnsi" w:hAnsiTheme="minorHAnsi"/>
        </w:rPr>
        <w:t xml:space="preserve"> is still uncertain owing t</w:t>
      </w:r>
      <w:r>
        <w:rPr>
          <w:rFonts w:asciiTheme="minorHAnsi" w:hAnsiTheme="minorHAnsi"/>
        </w:rPr>
        <w:t xml:space="preserve">o the UK political process. </w:t>
      </w:r>
      <w:r w:rsidR="009B3088" w:rsidRPr="009B3088">
        <w:rPr>
          <w:rFonts w:asciiTheme="minorHAnsi" w:hAnsiTheme="minorHAnsi"/>
        </w:rPr>
        <w:t>At this t</w:t>
      </w:r>
      <w:r w:rsidR="00495D23">
        <w:rPr>
          <w:rFonts w:asciiTheme="minorHAnsi" w:hAnsiTheme="minorHAnsi"/>
        </w:rPr>
        <w:t xml:space="preserve">ime we do not yet know when UK businesses </w:t>
      </w:r>
      <w:r w:rsidR="009B3088" w:rsidRPr="009B3088">
        <w:rPr>
          <w:rFonts w:asciiTheme="minorHAnsi" w:hAnsiTheme="minorHAnsi"/>
        </w:rPr>
        <w:t>will cease to have the passporting rights to operate in all EU territories as a result of Brexit. Around t</w:t>
      </w:r>
      <w:r w:rsidR="00495D23">
        <w:rPr>
          <w:rFonts w:asciiTheme="minorHAnsi" w:hAnsiTheme="minorHAnsi"/>
        </w:rPr>
        <w:t xml:space="preserve">hat time though, </w:t>
      </w:r>
      <w:r w:rsidR="00F347E4">
        <w:rPr>
          <w:rFonts w:asciiTheme="minorHAnsi" w:hAnsiTheme="minorHAnsi"/>
        </w:rPr>
        <w:t>your policy will be issued</w:t>
      </w:r>
      <w:r w:rsidR="00DF188D">
        <w:rPr>
          <w:rFonts w:asciiTheme="minorHAnsi" w:hAnsiTheme="minorHAnsi"/>
        </w:rPr>
        <w:t xml:space="preserve"> in the name of Pen Underwriting, a trading name of Nordic</w:t>
      </w:r>
      <w:r w:rsidR="009B3088" w:rsidRPr="00883481">
        <w:rPr>
          <w:rFonts w:asciiTheme="minorHAnsi" w:hAnsiTheme="minorHAnsi"/>
        </w:rPr>
        <w:t xml:space="preserve">. </w:t>
      </w:r>
      <w:r w:rsidR="005827F2">
        <w:rPr>
          <w:rFonts w:asciiTheme="minorHAnsi" w:hAnsiTheme="minorHAnsi"/>
        </w:rPr>
        <w:t>Pen Underwriting</w:t>
      </w:r>
      <w:r w:rsidR="002D4F68">
        <w:rPr>
          <w:rFonts w:asciiTheme="minorHAnsi" w:hAnsiTheme="minorHAnsi"/>
        </w:rPr>
        <w:t xml:space="preserve"> </w:t>
      </w:r>
      <w:r w:rsidR="00663514" w:rsidRPr="00663514">
        <w:rPr>
          <w:rFonts w:asciiTheme="minorHAnsi" w:hAnsiTheme="minorHAnsi"/>
        </w:rPr>
        <w:t>wil</w:t>
      </w:r>
      <w:r w:rsidR="005827F2">
        <w:rPr>
          <w:rFonts w:asciiTheme="minorHAnsi" w:hAnsiTheme="minorHAnsi"/>
        </w:rPr>
        <w:t xml:space="preserve">l also </w:t>
      </w:r>
      <w:r w:rsidR="00F347E4">
        <w:rPr>
          <w:rFonts w:asciiTheme="minorHAnsi" w:hAnsiTheme="minorHAnsi"/>
        </w:rPr>
        <w:t xml:space="preserve">be the entity </w:t>
      </w:r>
      <w:r w:rsidR="00663514" w:rsidRPr="00663514">
        <w:rPr>
          <w:rFonts w:asciiTheme="minorHAnsi" w:hAnsiTheme="minorHAnsi"/>
        </w:rPr>
        <w:t xml:space="preserve">for any mid-term policy changes you make that will take effect </w:t>
      </w:r>
      <w:r w:rsidR="00965D36">
        <w:rPr>
          <w:rFonts w:asciiTheme="minorHAnsi" w:hAnsiTheme="minorHAnsi"/>
        </w:rPr>
        <w:t xml:space="preserve">at such time as </w:t>
      </w:r>
      <w:r w:rsidR="005827F2">
        <w:rPr>
          <w:rFonts w:asciiTheme="minorHAnsi" w:hAnsiTheme="minorHAnsi"/>
        </w:rPr>
        <w:t xml:space="preserve">the </w:t>
      </w:r>
      <w:r w:rsidR="00663514" w:rsidRPr="00663514">
        <w:rPr>
          <w:rFonts w:asciiTheme="minorHAnsi" w:hAnsiTheme="minorHAnsi"/>
        </w:rPr>
        <w:t xml:space="preserve">UK businesses cease to have EU passporting rights. </w:t>
      </w:r>
    </w:p>
    <w:p w14:paraId="094C3988" w14:textId="77777777" w:rsidR="00FD2FE7" w:rsidRDefault="00FD2FE7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</w:rPr>
      </w:pPr>
    </w:p>
    <w:p w14:paraId="61C31758" w14:textId="4791A32B" w:rsidR="00AA677E" w:rsidRDefault="00AA677E" w:rsidP="00A6409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What do I need to do now?</w:t>
      </w:r>
    </w:p>
    <w:p w14:paraId="392D82D6" w14:textId="77777777" w:rsidR="00AA677E" w:rsidRDefault="00AA677E" w:rsidP="000A0687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/>
          <w:bCs/>
        </w:rPr>
      </w:pPr>
    </w:p>
    <w:p w14:paraId="0DBED5C5" w14:textId="77777777" w:rsidR="00EB47C8" w:rsidRDefault="00E4604C" w:rsidP="000A0687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</w:rPr>
      </w:pPr>
      <w:r w:rsidRPr="00E4604C">
        <w:rPr>
          <w:rFonts w:asciiTheme="minorHAnsi" w:hAnsiTheme="minorHAnsi"/>
        </w:rPr>
        <w:t>Nothing</w:t>
      </w:r>
      <w:r w:rsidR="006C287E">
        <w:rPr>
          <w:rFonts w:asciiTheme="minorHAnsi" w:hAnsiTheme="minorHAnsi"/>
        </w:rPr>
        <w:t>,</w:t>
      </w:r>
      <w:r w:rsidR="00E263AA">
        <w:rPr>
          <w:rFonts w:asciiTheme="minorHAnsi" w:hAnsiTheme="minorHAnsi"/>
        </w:rPr>
        <w:t xml:space="preserve"> </w:t>
      </w:r>
      <w:r w:rsidR="006C287E">
        <w:rPr>
          <w:rFonts w:asciiTheme="minorHAnsi" w:hAnsiTheme="minorHAnsi"/>
        </w:rPr>
        <w:t>n</w:t>
      </w:r>
      <w:r w:rsidR="00663514" w:rsidRPr="00663514">
        <w:rPr>
          <w:rFonts w:asciiTheme="minorHAnsi" w:hAnsiTheme="minorHAnsi"/>
        </w:rPr>
        <w:t>o action is required by you at this stage.</w:t>
      </w:r>
      <w:r w:rsidR="00663514">
        <w:rPr>
          <w:rFonts w:asciiTheme="minorHAnsi" w:hAnsiTheme="minorHAnsi"/>
        </w:rPr>
        <w:t xml:space="preserve"> </w:t>
      </w:r>
    </w:p>
    <w:p w14:paraId="5661B022" w14:textId="77777777" w:rsidR="00EB47C8" w:rsidRDefault="00EB47C8" w:rsidP="000A0687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</w:rPr>
      </w:pPr>
    </w:p>
    <w:p w14:paraId="4AEAD19C" w14:textId="0249F5A6" w:rsidR="00093B15" w:rsidRPr="00093B15" w:rsidRDefault="00685CB4" w:rsidP="00093B15">
      <w:pPr>
        <w:spacing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changes described here</w:t>
      </w:r>
      <w:r w:rsidR="0025237B">
        <w:rPr>
          <w:rFonts w:asciiTheme="minorHAnsi" w:hAnsiTheme="minorHAnsi"/>
        </w:rPr>
        <w:t xml:space="preserve"> will </w:t>
      </w:r>
      <w:r w:rsidR="00F545B6" w:rsidRPr="00C24F52">
        <w:rPr>
          <w:rFonts w:asciiTheme="minorHAnsi" w:hAnsiTheme="minorHAnsi"/>
        </w:rPr>
        <w:t xml:space="preserve">probably be </w:t>
      </w:r>
      <w:r w:rsidR="00663514" w:rsidRPr="00C24F52">
        <w:rPr>
          <w:rFonts w:asciiTheme="minorHAnsi" w:hAnsiTheme="minorHAnsi"/>
        </w:rPr>
        <w:t>ap</w:t>
      </w:r>
      <w:r w:rsidR="00F545B6" w:rsidRPr="00C24F52">
        <w:rPr>
          <w:rFonts w:asciiTheme="minorHAnsi" w:hAnsiTheme="minorHAnsi"/>
        </w:rPr>
        <w:t>parent the first time after Brexit that you receive</w:t>
      </w:r>
      <w:r w:rsidR="00F545B6">
        <w:rPr>
          <w:rFonts w:asciiTheme="minorHAnsi" w:hAnsiTheme="minorHAnsi"/>
        </w:rPr>
        <w:t xml:space="preserve"> policy documentation</w:t>
      </w:r>
      <w:r w:rsidR="002D4F68">
        <w:rPr>
          <w:rFonts w:asciiTheme="minorHAnsi" w:hAnsiTheme="minorHAnsi"/>
        </w:rPr>
        <w:t xml:space="preserve"> </w:t>
      </w:r>
      <w:r w:rsidR="00663514" w:rsidRPr="00663514">
        <w:rPr>
          <w:rFonts w:asciiTheme="minorHAnsi" w:hAnsiTheme="minorHAnsi"/>
        </w:rPr>
        <w:t>(or o</w:t>
      </w:r>
      <w:r w:rsidR="002E4CB4">
        <w:rPr>
          <w:rFonts w:asciiTheme="minorHAnsi" w:hAnsiTheme="minorHAnsi"/>
        </w:rPr>
        <w:t xml:space="preserve">ther official communication) as </w:t>
      </w:r>
      <w:r w:rsidR="00663514" w:rsidRPr="00663514">
        <w:rPr>
          <w:rFonts w:asciiTheme="minorHAnsi" w:hAnsiTheme="minorHAnsi"/>
        </w:rPr>
        <w:t xml:space="preserve">it </w:t>
      </w:r>
      <w:r>
        <w:rPr>
          <w:rFonts w:asciiTheme="minorHAnsi" w:hAnsiTheme="minorHAnsi"/>
        </w:rPr>
        <w:t>may</w:t>
      </w:r>
      <w:r w:rsidR="00663514" w:rsidRPr="00663514">
        <w:rPr>
          <w:rFonts w:asciiTheme="minorHAnsi" w:hAnsiTheme="minorHAnsi"/>
        </w:rPr>
        <w:t xml:space="preserve"> be in the name of </w:t>
      </w:r>
      <w:r w:rsidR="001F3652">
        <w:rPr>
          <w:rFonts w:asciiTheme="minorHAnsi" w:hAnsiTheme="minorHAnsi"/>
        </w:rPr>
        <w:t>Pen Underwriting, a trading name of Nordic</w:t>
      </w:r>
      <w:r w:rsidR="00663514" w:rsidRPr="00663514">
        <w:rPr>
          <w:rFonts w:asciiTheme="minorHAnsi" w:hAnsiTheme="minorHAnsi"/>
        </w:rPr>
        <w:t xml:space="preserve">.  </w:t>
      </w:r>
      <w:r w:rsidR="00E4604C" w:rsidRPr="00E4604C">
        <w:rPr>
          <w:rFonts w:asciiTheme="minorHAnsi" w:hAnsiTheme="minorHAnsi"/>
        </w:rPr>
        <w:t xml:space="preserve">Should you need to make a mid-term policy </w:t>
      </w:r>
      <w:r w:rsidR="00E4604C" w:rsidRPr="00432FA6">
        <w:rPr>
          <w:rFonts w:asciiTheme="minorHAnsi" w:hAnsiTheme="minorHAnsi"/>
        </w:rPr>
        <w:t xml:space="preserve">change </w:t>
      </w:r>
      <w:r w:rsidR="00663514" w:rsidRPr="00432FA6">
        <w:rPr>
          <w:rFonts w:asciiTheme="minorHAnsi" w:hAnsiTheme="minorHAnsi"/>
        </w:rPr>
        <w:t>prior to your next renewal</w:t>
      </w:r>
      <w:r w:rsidR="00E4604C" w:rsidRPr="00432FA6">
        <w:rPr>
          <w:rFonts w:asciiTheme="minorHAnsi" w:hAnsiTheme="minorHAnsi"/>
        </w:rPr>
        <w:t xml:space="preserve">, </w:t>
      </w:r>
      <w:r w:rsidR="00663514" w:rsidRPr="00432FA6">
        <w:rPr>
          <w:rFonts w:asciiTheme="minorHAnsi" w:hAnsiTheme="minorHAnsi"/>
        </w:rPr>
        <w:t xml:space="preserve">please contact </w:t>
      </w:r>
      <w:r w:rsidR="00EB7456">
        <w:rPr>
          <w:rFonts w:asciiTheme="minorHAnsi" w:hAnsiTheme="minorHAnsi"/>
        </w:rPr>
        <w:t>us</w:t>
      </w:r>
      <w:r w:rsidR="00F545B6">
        <w:rPr>
          <w:rFonts w:asciiTheme="minorHAnsi" w:hAnsiTheme="minorHAnsi"/>
        </w:rPr>
        <w:t>, your broker</w:t>
      </w:r>
      <w:r w:rsidR="00A85476">
        <w:rPr>
          <w:rFonts w:asciiTheme="minorHAnsi" w:hAnsiTheme="minorHAnsi"/>
        </w:rPr>
        <w:t xml:space="preserve">, as </w:t>
      </w:r>
      <w:proofErr w:type="gramStart"/>
      <w:r w:rsidR="00A85476">
        <w:rPr>
          <w:rFonts w:asciiTheme="minorHAnsi" w:hAnsiTheme="minorHAnsi"/>
        </w:rPr>
        <w:t>usual</w:t>
      </w:r>
      <w:r w:rsidR="00EB7456">
        <w:rPr>
          <w:rFonts w:asciiTheme="minorHAnsi" w:hAnsiTheme="minorHAnsi"/>
        </w:rPr>
        <w:t>.</w:t>
      </w:r>
      <w:proofErr w:type="gramEnd"/>
      <w:r w:rsidR="00EB7456">
        <w:rPr>
          <w:rFonts w:asciiTheme="minorHAnsi" w:hAnsiTheme="minorHAnsi"/>
        </w:rPr>
        <w:t xml:space="preserve"> </w:t>
      </w:r>
      <w:r w:rsidR="00F545B6">
        <w:rPr>
          <w:rFonts w:asciiTheme="minorHAnsi" w:hAnsiTheme="minorHAnsi"/>
        </w:rPr>
        <w:t>At that time, w</w:t>
      </w:r>
      <w:r w:rsidR="001F3652" w:rsidRPr="009B3161">
        <w:rPr>
          <w:rFonts w:asciiTheme="minorHAnsi" w:hAnsiTheme="minorHAnsi"/>
        </w:rPr>
        <w:t xml:space="preserve">e will also advise you whether </w:t>
      </w:r>
      <w:r w:rsidR="00A85476">
        <w:rPr>
          <w:rFonts w:asciiTheme="minorHAnsi" w:hAnsiTheme="minorHAnsi"/>
        </w:rPr>
        <w:t xml:space="preserve">subsequent to your adjustment, </w:t>
      </w:r>
      <w:r w:rsidR="001F3652" w:rsidRPr="009B3161">
        <w:rPr>
          <w:rFonts w:asciiTheme="minorHAnsi" w:hAnsiTheme="minorHAnsi"/>
        </w:rPr>
        <w:t>your policy will be from Pen UK or Pen Underwriting trading as Nordic</w:t>
      </w:r>
      <w:r w:rsidR="00093B15">
        <w:rPr>
          <w:rFonts w:asciiTheme="minorHAnsi" w:hAnsiTheme="minorHAnsi"/>
        </w:rPr>
        <w:t xml:space="preserve">. </w:t>
      </w:r>
      <w:r w:rsidR="00093B15" w:rsidRPr="00093B15">
        <w:rPr>
          <w:rFonts w:asciiTheme="minorHAnsi" w:hAnsiTheme="minorHAnsi"/>
        </w:rPr>
        <w:t xml:space="preserve">The exact date from which services will need to be performed by the Nordic entity is still uncertain owing to the UK political process so you should </w:t>
      </w:r>
      <w:r w:rsidR="00A85476">
        <w:rPr>
          <w:rFonts w:asciiTheme="minorHAnsi" w:hAnsiTheme="minorHAnsi"/>
        </w:rPr>
        <w:t>be aware only that</w:t>
      </w:r>
      <w:r w:rsidR="00093B15" w:rsidRPr="00093B15">
        <w:rPr>
          <w:rFonts w:asciiTheme="minorHAnsi" w:hAnsiTheme="minorHAnsi"/>
        </w:rPr>
        <w:t xml:space="preserve"> that this will happen at some point in the future. </w:t>
      </w:r>
    </w:p>
    <w:p w14:paraId="14637BD0" w14:textId="77777777" w:rsidR="00AA677E" w:rsidRDefault="00AA677E" w:rsidP="009B3161">
      <w:pPr>
        <w:spacing w:before="100" w:beforeAutospacing="1" w:after="100" w:afterAutospacing="1" w:line="240" w:lineRule="auto"/>
        <w:contextualSpacing/>
        <w:jc w:val="both"/>
        <w:rPr>
          <w:rFonts w:asciiTheme="minorHAnsi" w:hAnsiTheme="minorHAnsi"/>
          <w:b/>
          <w:bCs/>
        </w:rPr>
      </w:pPr>
    </w:p>
    <w:p w14:paraId="0F762DA6" w14:textId="269736A1" w:rsidR="00A6409B" w:rsidRPr="00311EF5" w:rsidRDefault="00242E5A" w:rsidP="00A6409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Will having </w:t>
      </w:r>
      <w:r w:rsidR="004632DC">
        <w:rPr>
          <w:rFonts w:asciiTheme="minorHAnsi" w:hAnsiTheme="minorHAnsi"/>
          <w:b/>
          <w:bCs/>
        </w:rPr>
        <w:t>Nordic, trading as Pen Underwriting</w:t>
      </w:r>
      <w:r w:rsidR="00A6409B" w:rsidRPr="00311EF5">
        <w:rPr>
          <w:rFonts w:asciiTheme="minorHAnsi" w:hAnsiTheme="minorHAnsi"/>
          <w:b/>
          <w:bCs/>
        </w:rPr>
        <w:t xml:space="preserve"> affect my existing </w:t>
      </w:r>
      <w:proofErr w:type="gramStart"/>
      <w:r w:rsidR="00A6409B" w:rsidRPr="00311EF5">
        <w:rPr>
          <w:rFonts w:asciiTheme="minorHAnsi" w:hAnsiTheme="minorHAnsi"/>
          <w:b/>
          <w:bCs/>
        </w:rPr>
        <w:t>policy(</w:t>
      </w:r>
      <w:proofErr w:type="spellStart"/>
      <w:proofErr w:type="gramEnd"/>
      <w:r w:rsidR="00A6409B" w:rsidRPr="00311EF5">
        <w:rPr>
          <w:rFonts w:asciiTheme="minorHAnsi" w:hAnsiTheme="minorHAnsi"/>
          <w:b/>
          <w:bCs/>
        </w:rPr>
        <w:t>ies</w:t>
      </w:r>
      <w:r w:rsidR="00A6409B" w:rsidRPr="00311EF5">
        <w:rPr>
          <w:rFonts w:asciiTheme="minorHAnsi" w:hAnsiTheme="minorHAnsi"/>
          <w:b/>
          <w:bCs/>
        </w:rPr>
        <w:softHyphen/>
      </w:r>
      <w:proofErr w:type="spellEnd"/>
      <w:r w:rsidR="00A6409B" w:rsidRPr="00311EF5">
        <w:rPr>
          <w:rFonts w:asciiTheme="minorHAnsi" w:hAnsiTheme="minorHAnsi"/>
          <w:b/>
          <w:bCs/>
        </w:rPr>
        <w:t>)?</w:t>
      </w:r>
    </w:p>
    <w:p w14:paraId="071176B0" w14:textId="77777777" w:rsidR="00E4604C" w:rsidRDefault="00E4604C" w:rsidP="00C05775">
      <w:pPr>
        <w:spacing w:before="100" w:beforeAutospacing="1" w:after="100" w:afterAutospacing="1" w:line="240" w:lineRule="auto"/>
        <w:contextualSpacing/>
        <w:jc w:val="both"/>
        <w:rPr>
          <w:rFonts w:asciiTheme="minorHAnsi" w:hAnsiTheme="minorHAnsi"/>
          <w:bCs/>
        </w:rPr>
      </w:pPr>
    </w:p>
    <w:p w14:paraId="39CABF94" w14:textId="29E611A1" w:rsidR="00E822F6" w:rsidRPr="00E822F6" w:rsidRDefault="00663514" w:rsidP="00E822F6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Please note that </w:t>
      </w:r>
      <w:r w:rsidR="00C05775">
        <w:rPr>
          <w:rFonts w:asciiTheme="minorHAnsi" w:hAnsiTheme="minorHAnsi"/>
          <w:bCs/>
        </w:rPr>
        <w:t>the</w:t>
      </w:r>
      <w:r w:rsidRPr="00663514">
        <w:rPr>
          <w:rFonts w:asciiTheme="minorHAnsi" w:hAnsiTheme="minorHAnsi"/>
          <w:bCs/>
        </w:rPr>
        <w:t xml:space="preserve"> existing insurance policy terms and conditions are not affected by</w:t>
      </w:r>
      <w:r w:rsidR="00C05775">
        <w:rPr>
          <w:rFonts w:asciiTheme="minorHAnsi" w:hAnsiTheme="minorHAnsi"/>
          <w:bCs/>
        </w:rPr>
        <w:t xml:space="preserve"> these</w:t>
      </w:r>
      <w:r w:rsidRPr="00663514">
        <w:rPr>
          <w:rFonts w:asciiTheme="minorHAnsi" w:hAnsiTheme="minorHAnsi"/>
          <w:bCs/>
        </w:rPr>
        <w:t xml:space="preserve"> plans. </w:t>
      </w:r>
      <w:r w:rsidR="00175BDC">
        <w:rPr>
          <w:rFonts w:asciiTheme="minorHAnsi" w:hAnsiTheme="minorHAnsi"/>
        </w:rPr>
        <w:t>The insurer</w:t>
      </w:r>
      <w:r w:rsidR="00E822F6" w:rsidRPr="00E822F6">
        <w:rPr>
          <w:rFonts w:asciiTheme="minorHAnsi" w:hAnsiTheme="minorHAnsi"/>
        </w:rPr>
        <w:t xml:space="preserve"> capacity will remain Zurich Ireland for Motor business and QBE Europe for Property &amp; Casualty business, albeit this is now via QBE’s Brussels legal entity with effect from 01 January 2019.</w:t>
      </w:r>
    </w:p>
    <w:p w14:paraId="72F08799" w14:textId="77777777" w:rsidR="00E822F6" w:rsidRDefault="00E822F6" w:rsidP="00A50588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Cs/>
        </w:rPr>
      </w:pPr>
    </w:p>
    <w:p w14:paraId="567DF91D" w14:textId="77777777" w:rsidR="00E822F6" w:rsidRDefault="00E822F6" w:rsidP="00A50588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Cs/>
        </w:rPr>
      </w:pPr>
    </w:p>
    <w:p w14:paraId="0F762DAD" w14:textId="1C2110B0" w:rsidR="004769EB" w:rsidRDefault="004769EB" w:rsidP="004769E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bCs/>
        </w:rPr>
      </w:pPr>
      <w:r w:rsidRPr="004769EB">
        <w:rPr>
          <w:rFonts w:asciiTheme="minorHAnsi" w:hAnsiTheme="minorHAnsi"/>
          <w:b/>
          <w:bCs/>
        </w:rPr>
        <w:t xml:space="preserve">Who do I contact if I need to purchase new insurance, or renew or make a change to my </w:t>
      </w:r>
      <w:r w:rsidR="00BA2DAC">
        <w:rPr>
          <w:rFonts w:asciiTheme="minorHAnsi" w:hAnsiTheme="minorHAnsi"/>
          <w:b/>
          <w:bCs/>
        </w:rPr>
        <w:t>e</w:t>
      </w:r>
      <w:r w:rsidRPr="004769EB">
        <w:rPr>
          <w:rFonts w:asciiTheme="minorHAnsi" w:hAnsiTheme="minorHAnsi"/>
          <w:b/>
          <w:bCs/>
        </w:rPr>
        <w:t>xisting insurance policy?</w:t>
      </w:r>
    </w:p>
    <w:p w14:paraId="205074A3" w14:textId="75596950" w:rsidR="00E4604C" w:rsidRDefault="00E4604C" w:rsidP="00E4604C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</w:t>
      </w:r>
      <w:r w:rsidRPr="00E4604C">
        <w:rPr>
          <w:rFonts w:asciiTheme="minorHAnsi" w:hAnsiTheme="minorHAnsi"/>
          <w:bCs/>
        </w:rPr>
        <w:t xml:space="preserve">here will be no </w:t>
      </w:r>
      <w:r w:rsidR="00E134BA">
        <w:rPr>
          <w:rFonts w:asciiTheme="minorHAnsi" w:hAnsiTheme="minorHAnsi"/>
          <w:bCs/>
        </w:rPr>
        <w:t>obvious impact in respect of</w:t>
      </w:r>
      <w:r w:rsidRPr="00E4604C">
        <w:rPr>
          <w:rFonts w:asciiTheme="minorHAnsi" w:hAnsiTheme="minorHAnsi"/>
          <w:bCs/>
        </w:rPr>
        <w:t xml:space="preserve"> your day to day business interactions</w:t>
      </w:r>
      <w:r w:rsidR="00A50588">
        <w:rPr>
          <w:rFonts w:asciiTheme="minorHAnsi" w:hAnsiTheme="minorHAnsi"/>
          <w:bCs/>
        </w:rPr>
        <w:t xml:space="preserve"> whi</w:t>
      </w:r>
      <w:r w:rsidR="00EB7456">
        <w:rPr>
          <w:rFonts w:asciiTheme="minorHAnsi" w:hAnsiTheme="minorHAnsi"/>
          <w:bCs/>
        </w:rPr>
        <w:t>ch will continue to be with us as your insurance</w:t>
      </w:r>
      <w:r w:rsidR="00A50588">
        <w:rPr>
          <w:rFonts w:asciiTheme="minorHAnsi" w:hAnsiTheme="minorHAnsi"/>
          <w:bCs/>
        </w:rPr>
        <w:t xml:space="preserve"> broker</w:t>
      </w:r>
      <w:r w:rsidRPr="00E4604C">
        <w:rPr>
          <w:rFonts w:asciiTheme="minorHAnsi" w:hAnsiTheme="minorHAnsi"/>
          <w:bCs/>
        </w:rPr>
        <w:t xml:space="preserve">. </w:t>
      </w:r>
    </w:p>
    <w:p w14:paraId="6FC90DBF" w14:textId="08E4765A" w:rsidR="00D56A6D" w:rsidRDefault="00BA2DAC" w:rsidP="00E4604C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14:paraId="0F762DC3" w14:textId="77777777" w:rsidR="00A6409B" w:rsidRPr="00311EF5" w:rsidRDefault="00A6409B" w:rsidP="00A6409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/>
          <w:b/>
          <w:bCs/>
        </w:rPr>
      </w:pPr>
      <w:r w:rsidRPr="00311EF5">
        <w:rPr>
          <w:rFonts w:asciiTheme="minorHAnsi" w:hAnsiTheme="minorHAnsi"/>
          <w:b/>
          <w:bCs/>
        </w:rPr>
        <w:t>If I decide to purchase new insurance or I would like to make a change or a mid-term adjustment to my existing policy, will there be any changes to the way that I pay for my premiums?</w:t>
      </w:r>
    </w:p>
    <w:p w14:paraId="0F762DC4" w14:textId="77777777" w:rsidR="00A6409B" w:rsidRPr="00311EF5" w:rsidRDefault="00A6409B" w:rsidP="00A6409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Cs/>
        </w:rPr>
      </w:pPr>
    </w:p>
    <w:p w14:paraId="0F762DC5" w14:textId="3C57BA8E" w:rsidR="00A6409B" w:rsidRPr="00311EF5" w:rsidRDefault="0039668F" w:rsidP="00BA2DAC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There will be no change to the way you pay, which is through us, your broker.</w:t>
      </w:r>
    </w:p>
    <w:p w14:paraId="0F762DC6" w14:textId="77777777" w:rsidR="00A6409B" w:rsidRPr="00311EF5" w:rsidRDefault="00A6409B" w:rsidP="00A6409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</w:rPr>
      </w:pPr>
    </w:p>
    <w:p w14:paraId="0F762DC7" w14:textId="77777777" w:rsidR="00A6409B" w:rsidRPr="00311EF5" w:rsidRDefault="00A6409B" w:rsidP="00A6409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/>
          <w:b/>
          <w:bCs/>
        </w:rPr>
      </w:pPr>
      <w:r w:rsidRPr="00311EF5">
        <w:rPr>
          <w:rFonts w:asciiTheme="minorHAnsi" w:hAnsiTheme="minorHAnsi"/>
          <w:b/>
          <w:bCs/>
        </w:rPr>
        <w:t>How do I obtain details about my current insurance policy and/or coverage?</w:t>
      </w:r>
    </w:p>
    <w:p w14:paraId="0F762DC8" w14:textId="77777777" w:rsidR="00A6409B" w:rsidRPr="00311EF5" w:rsidRDefault="00A6409B" w:rsidP="00A6409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/>
          <w:bCs/>
        </w:rPr>
      </w:pPr>
    </w:p>
    <w:p w14:paraId="0F762DC9" w14:textId="03F1ACBE" w:rsidR="00A6409B" w:rsidRDefault="00732E2E" w:rsidP="00D56A6D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Please speak to </w:t>
      </w:r>
      <w:r w:rsidR="00EB7456">
        <w:rPr>
          <w:rFonts w:asciiTheme="minorHAnsi" w:hAnsiTheme="minorHAnsi"/>
          <w:bCs/>
        </w:rPr>
        <w:t xml:space="preserve">us, your insurance broker </w:t>
      </w:r>
      <w:r>
        <w:rPr>
          <w:rFonts w:asciiTheme="minorHAnsi" w:hAnsiTheme="minorHAnsi"/>
          <w:bCs/>
        </w:rPr>
        <w:t>in the first instance</w:t>
      </w:r>
      <w:r w:rsidR="00E0288B">
        <w:rPr>
          <w:rFonts w:asciiTheme="minorHAnsi" w:hAnsiTheme="minorHAnsi"/>
          <w:bCs/>
        </w:rPr>
        <w:t>.</w:t>
      </w:r>
    </w:p>
    <w:p w14:paraId="61877377" w14:textId="77777777" w:rsidR="008A6376" w:rsidRDefault="008A6376" w:rsidP="00D928E0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/>
          <w:bCs/>
        </w:rPr>
      </w:pPr>
    </w:p>
    <w:p w14:paraId="1483B9A9" w14:textId="48D34AD2" w:rsidR="00AC7D8D" w:rsidRDefault="00AC7D8D" w:rsidP="0063295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/>
          <w:b/>
          <w:bCs/>
        </w:rPr>
      </w:pPr>
      <w:r w:rsidRPr="0063295C">
        <w:rPr>
          <w:rFonts w:asciiTheme="minorHAnsi" w:hAnsiTheme="minorHAnsi"/>
          <w:b/>
          <w:bCs/>
        </w:rPr>
        <w:t xml:space="preserve">What are the full details of </w:t>
      </w:r>
      <w:proofErr w:type="gramStart"/>
      <w:r w:rsidRPr="0063295C">
        <w:rPr>
          <w:rFonts w:asciiTheme="minorHAnsi" w:hAnsiTheme="minorHAnsi"/>
          <w:b/>
          <w:bCs/>
        </w:rPr>
        <w:t>Nordic</w:t>
      </w:r>
      <w:r w:rsidR="0063295C" w:rsidRPr="0063295C">
        <w:rPr>
          <w:rFonts w:asciiTheme="minorHAnsi" w:hAnsiTheme="minorHAnsi"/>
          <w:b/>
          <w:bCs/>
        </w:rPr>
        <w:t xml:space="preserve"> ?</w:t>
      </w:r>
      <w:proofErr w:type="gramEnd"/>
    </w:p>
    <w:p w14:paraId="357AD51C" w14:textId="77777777" w:rsidR="0063295C" w:rsidRPr="0063295C" w:rsidRDefault="0063295C" w:rsidP="0063295C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/>
          <w:bCs/>
        </w:rPr>
      </w:pPr>
    </w:p>
    <w:p w14:paraId="2DC4A5A5" w14:textId="388FC34E" w:rsidR="0063295C" w:rsidRDefault="0063295C" w:rsidP="00D56A6D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Nordic’s full name is Nordic </w:t>
      </w:r>
      <w:r w:rsidRPr="0063295C">
        <w:rPr>
          <w:rFonts w:asciiTheme="minorHAnsi" w:hAnsiTheme="minorHAnsi"/>
          <w:bCs/>
        </w:rPr>
        <w:t>Försäkring &amp; Riskhantering AB</w:t>
      </w:r>
      <w:r>
        <w:rPr>
          <w:rFonts w:asciiTheme="minorHAnsi" w:hAnsiTheme="minorHAnsi"/>
          <w:bCs/>
        </w:rPr>
        <w:t>, and the firm is authorise</w:t>
      </w:r>
      <w:r w:rsidR="00EB7456">
        <w:rPr>
          <w:rFonts w:asciiTheme="minorHAnsi" w:hAnsiTheme="minorHAnsi"/>
          <w:bCs/>
        </w:rPr>
        <w:t xml:space="preserve">d and regulated </w:t>
      </w:r>
      <w:r>
        <w:rPr>
          <w:rFonts w:asciiTheme="minorHAnsi" w:hAnsiTheme="minorHAnsi"/>
          <w:bCs/>
        </w:rPr>
        <w:t xml:space="preserve">by the Swedish regulator, the </w:t>
      </w:r>
      <w:proofErr w:type="spellStart"/>
      <w:r>
        <w:rPr>
          <w:rFonts w:asciiTheme="minorHAnsi" w:hAnsiTheme="minorHAnsi"/>
          <w:bCs/>
        </w:rPr>
        <w:t>Finansinspektionen</w:t>
      </w:r>
      <w:proofErr w:type="spellEnd"/>
      <w:r>
        <w:rPr>
          <w:rFonts w:asciiTheme="minorHAnsi" w:hAnsiTheme="minorHAnsi"/>
          <w:bCs/>
        </w:rPr>
        <w:t>.</w:t>
      </w:r>
    </w:p>
    <w:p w14:paraId="1B33D294" w14:textId="77777777" w:rsidR="0063295C" w:rsidRDefault="0063295C" w:rsidP="00D56A6D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Cs/>
        </w:rPr>
      </w:pPr>
    </w:p>
    <w:p w14:paraId="7CFBEA9C" w14:textId="23C86DF7" w:rsidR="00DB75C6" w:rsidRPr="002A1191" w:rsidRDefault="0063295C" w:rsidP="002A1191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 well as its head office in Swed</w:t>
      </w:r>
      <w:bookmarkStart w:id="0" w:name="_GoBack"/>
      <w:bookmarkEnd w:id="0"/>
      <w:r>
        <w:rPr>
          <w:rFonts w:asciiTheme="minorHAnsi" w:hAnsiTheme="minorHAnsi"/>
          <w:bCs/>
        </w:rPr>
        <w:t>en, Nordic will also have a UK branch.</w:t>
      </w:r>
    </w:p>
    <w:sectPr w:rsidR="00DB75C6" w:rsidRPr="002A1191" w:rsidSect="001C10B1">
      <w:footerReference w:type="default" r:id="rId12"/>
      <w:footerReference w:type="first" r:id="rId13"/>
      <w:pgSz w:w="11906" w:h="16838"/>
      <w:pgMar w:top="1440" w:right="1440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C197" w14:textId="77777777" w:rsidR="00326CA5" w:rsidRDefault="00326CA5" w:rsidP="00FC25AE">
      <w:pPr>
        <w:spacing w:after="0" w:line="240" w:lineRule="auto"/>
      </w:pPr>
      <w:r>
        <w:separator/>
      </w:r>
    </w:p>
  </w:endnote>
  <w:endnote w:type="continuationSeparator" w:id="0">
    <w:p w14:paraId="1CA86D1C" w14:textId="77777777" w:rsidR="00326CA5" w:rsidRDefault="00326CA5" w:rsidP="00FC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D97C" w14:textId="77777777" w:rsidR="007D5049" w:rsidRPr="007D5049" w:rsidRDefault="007D5049" w:rsidP="007D5049">
    <w:pPr>
      <w:tabs>
        <w:tab w:val="center" w:pos="4513"/>
        <w:tab w:val="right" w:pos="9026"/>
      </w:tabs>
      <w:spacing w:after="0" w:line="240" w:lineRule="auto"/>
      <w:rPr>
        <w:rFonts w:asciiTheme="minorHAnsi" w:hAnsiTheme="minorHAnsi"/>
        <w:iCs/>
        <w:sz w:val="16"/>
        <w:szCs w:val="16"/>
      </w:rPr>
    </w:pPr>
  </w:p>
  <w:p w14:paraId="5E286D66" w14:textId="6F05A4E0" w:rsidR="007D5049" w:rsidRPr="007D5049" w:rsidRDefault="00A6601D" w:rsidP="007D5049">
    <w:pPr>
      <w:tabs>
        <w:tab w:val="center" w:pos="4513"/>
        <w:tab w:val="right" w:pos="9026"/>
      </w:tabs>
      <w:spacing w:after="0" w:line="240" w:lineRule="auto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sz w:val="16"/>
        <w:szCs w:val="16"/>
      </w:rPr>
      <w:t>BROKER DISCLOSURE</w:t>
    </w:r>
  </w:p>
  <w:p w14:paraId="0F762DD6" w14:textId="77777777" w:rsidR="00107A02" w:rsidRPr="003C0B3B" w:rsidRDefault="00107A02" w:rsidP="003C0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22D46" w14:textId="77777777" w:rsidR="007D5049" w:rsidRPr="007D5049" w:rsidRDefault="007D5049" w:rsidP="007D5049">
    <w:pPr>
      <w:tabs>
        <w:tab w:val="center" w:pos="4513"/>
        <w:tab w:val="right" w:pos="9026"/>
      </w:tabs>
      <w:spacing w:after="0" w:line="240" w:lineRule="auto"/>
      <w:rPr>
        <w:rFonts w:asciiTheme="minorHAnsi" w:hAnsiTheme="minorHAnsi"/>
        <w:iCs/>
        <w:sz w:val="16"/>
        <w:szCs w:val="16"/>
      </w:rPr>
    </w:pPr>
  </w:p>
  <w:p w14:paraId="77729DDE" w14:textId="77777777" w:rsidR="007D5049" w:rsidRPr="007D5049" w:rsidRDefault="007D5049" w:rsidP="007D5049">
    <w:pPr>
      <w:tabs>
        <w:tab w:val="center" w:pos="4513"/>
        <w:tab w:val="right" w:pos="9026"/>
      </w:tabs>
      <w:spacing w:after="0" w:line="240" w:lineRule="auto"/>
      <w:rPr>
        <w:rFonts w:asciiTheme="minorHAnsi" w:hAnsiTheme="minorHAnsi"/>
        <w:iCs/>
        <w:sz w:val="16"/>
        <w:szCs w:val="16"/>
      </w:rPr>
    </w:pPr>
  </w:p>
  <w:p w14:paraId="031F404B" w14:textId="4C54A4B7" w:rsidR="007D5049" w:rsidRPr="007D5049" w:rsidRDefault="00A6601D" w:rsidP="007D5049">
    <w:pPr>
      <w:tabs>
        <w:tab w:val="center" w:pos="4513"/>
        <w:tab w:val="right" w:pos="9026"/>
      </w:tabs>
      <w:spacing w:after="0" w:line="240" w:lineRule="auto"/>
      <w:rPr>
        <w:rFonts w:asciiTheme="minorHAnsi" w:hAnsiTheme="minorHAnsi"/>
      </w:rPr>
    </w:pPr>
    <w:r>
      <w:rPr>
        <w:rFonts w:asciiTheme="minorHAnsi" w:hAnsiTheme="minorHAnsi"/>
        <w:iCs/>
        <w:sz w:val="16"/>
        <w:szCs w:val="16"/>
      </w:rPr>
      <w:t>BROKER DISCLOSURE</w:t>
    </w:r>
  </w:p>
  <w:p w14:paraId="0F762DDB" w14:textId="77777777" w:rsidR="00107A02" w:rsidRPr="003C0B3B" w:rsidRDefault="00107A02" w:rsidP="003C0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90BB6" w14:textId="77777777" w:rsidR="00326CA5" w:rsidRDefault="00326CA5" w:rsidP="00FC25AE">
      <w:pPr>
        <w:spacing w:after="0" w:line="240" w:lineRule="auto"/>
      </w:pPr>
      <w:r>
        <w:separator/>
      </w:r>
    </w:p>
  </w:footnote>
  <w:footnote w:type="continuationSeparator" w:id="0">
    <w:p w14:paraId="560F410A" w14:textId="77777777" w:rsidR="00326CA5" w:rsidRDefault="00326CA5" w:rsidP="00FC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3F6"/>
    <w:multiLevelType w:val="multilevel"/>
    <w:tmpl w:val="339C5C1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cs="Arial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/>
        <w:b/>
      </w:rPr>
    </w:lvl>
  </w:abstractNum>
  <w:abstractNum w:abstractNumId="1">
    <w:nsid w:val="2C742B42"/>
    <w:multiLevelType w:val="hybridMultilevel"/>
    <w:tmpl w:val="785E453A"/>
    <w:lvl w:ilvl="0" w:tplc="8F4E1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9B"/>
    <w:rsid w:val="000117BE"/>
    <w:rsid w:val="00031E02"/>
    <w:rsid w:val="00045951"/>
    <w:rsid w:val="00075C2A"/>
    <w:rsid w:val="0007697A"/>
    <w:rsid w:val="0008532B"/>
    <w:rsid w:val="00093352"/>
    <w:rsid w:val="00093418"/>
    <w:rsid w:val="00093B15"/>
    <w:rsid w:val="000960DC"/>
    <w:rsid w:val="000A0687"/>
    <w:rsid w:val="000A6ABF"/>
    <w:rsid w:val="000B0D25"/>
    <w:rsid w:val="000C7900"/>
    <w:rsid w:val="000E0204"/>
    <w:rsid w:val="000F65F2"/>
    <w:rsid w:val="00107A02"/>
    <w:rsid w:val="001234D6"/>
    <w:rsid w:val="00136003"/>
    <w:rsid w:val="001407CF"/>
    <w:rsid w:val="001413D8"/>
    <w:rsid w:val="001528CB"/>
    <w:rsid w:val="0016102C"/>
    <w:rsid w:val="00161E3F"/>
    <w:rsid w:val="00175BDC"/>
    <w:rsid w:val="0018509C"/>
    <w:rsid w:val="001934E0"/>
    <w:rsid w:val="001B6D9C"/>
    <w:rsid w:val="001C10B1"/>
    <w:rsid w:val="001C25D0"/>
    <w:rsid w:val="001D18E2"/>
    <w:rsid w:val="001E2E16"/>
    <w:rsid w:val="001F3652"/>
    <w:rsid w:val="001F5B24"/>
    <w:rsid w:val="00205F73"/>
    <w:rsid w:val="00231E07"/>
    <w:rsid w:val="002334E8"/>
    <w:rsid w:val="00235A64"/>
    <w:rsid w:val="00242E5A"/>
    <w:rsid w:val="00244CA7"/>
    <w:rsid w:val="0025237B"/>
    <w:rsid w:val="00263BA3"/>
    <w:rsid w:val="00267374"/>
    <w:rsid w:val="002753E3"/>
    <w:rsid w:val="00294DA8"/>
    <w:rsid w:val="002A1168"/>
    <w:rsid w:val="002A1191"/>
    <w:rsid w:val="002A5D3D"/>
    <w:rsid w:val="002D4F68"/>
    <w:rsid w:val="002E4CB4"/>
    <w:rsid w:val="003010E5"/>
    <w:rsid w:val="00303FAF"/>
    <w:rsid w:val="0030733F"/>
    <w:rsid w:val="00311EF5"/>
    <w:rsid w:val="00326CA5"/>
    <w:rsid w:val="00332B47"/>
    <w:rsid w:val="003355E8"/>
    <w:rsid w:val="00344908"/>
    <w:rsid w:val="00386672"/>
    <w:rsid w:val="00387C6B"/>
    <w:rsid w:val="00391C6C"/>
    <w:rsid w:val="0039668F"/>
    <w:rsid w:val="003C0B3B"/>
    <w:rsid w:val="003C6AFA"/>
    <w:rsid w:val="003C7628"/>
    <w:rsid w:val="003E182C"/>
    <w:rsid w:val="003F4041"/>
    <w:rsid w:val="00405F47"/>
    <w:rsid w:val="00432FA6"/>
    <w:rsid w:val="00456723"/>
    <w:rsid w:val="00456CFB"/>
    <w:rsid w:val="004632DC"/>
    <w:rsid w:val="004728D6"/>
    <w:rsid w:val="004769EB"/>
    <w:rsid w:val="00486835"/>
    <w:rsid w:val="00487ED2"/>
    <w:rsid w:val="00495D23"/>
    <w:rsid w:val="004A5B8E"/>
    <w:rsid w:val="005107E3"/>
    <w:rsid w:val="0052006B"/>
    <w:rsid w:val="00536924"/>
    <w:rsid w:val="005409DE"/>
    <w:rsid w:val="00553DAF"/>
    <w:rsid w:val="0055581E"/>
    <w:rsid w:val="005658ED"/>
    <w:rsid w:val="0058081A"/>
    <w:rsid w:val="005827F2"/>
    <w:rsid w:val="005B0C5B"/>
    <w:rsid w:val="005C0260"/>
    <w:rsid w:val="005E70C8"/>
    <w:rsid w:val="00612F07"/>
    <w:rsid w:val="0063295C"/>
    <w:rsid w:val="00642433"/>
    <w:rsid w:val="006460F1"/>
    <w:rsid w:val="00663514"/>
    <w:rsid w:val="0067298D"/>
    <w:rsid w:val="00685CB4"/>
    <w:rsid w:val="006A0C0D"/>
    <w:rsid w:val="006C287E"/>
    <w:rsid w:val="006E5699"/>
    <w:rsid w:val="00704287"/>
    <w:rsid w:val="00710EBE"/>
    <w:rsid w:val="00714AB3"/>
    <w:rsid w:val="00721C1F"/>
    <w:rsid w:val="00732E2E"/>
    <w:rsid w:val="00733788"/>
    <w:rsid w:val="00747365"/>
    <w:rsid w:val="007813C9"/>
    <w:rsid w:val="00782EC5"/>
    <w:rsid w:val="007D5049"/>
    <w:rsid w:val="007E1085"/>
    <w:rsid w:val="007F7DE0"/>
    <w:rsid w:val="00805359"/>
    <w:rsid w:val="008122FB"/>
    <w:rsid w:val="00835987"/>
    <w:rsid w:val="0083773E"/>
    <w:rsid w:val="008458A3"/>
    <w:rsid w:val="008545E5"/>
    <w:rsid w:val="00882728"/>
    <w:rsid w:val="00883481"/>
    <w:rsid w:val="0088470E"/>
    <w:rsid w:val="0089483A"/>
    <w:rsid w:val="008A4DCB"/>
    <w:rsid w:val="008A6376"/>
    <w:rsid w:val="00965D36"/>
    <w:rsid w:val="009916E6"/>
    <w:rsid w:val="009B0839"/>
    <w:rsid w:val="009B3088"/>
    <w:rsid w:val="009B3161"/>
    <w:rsid w:val="009D4C95"/>
    <w:rsid w:val="009D7116"/>
    <w:rsid w:val="00A01ED1"/>
    <w:rsid w:val="00A065FA"/>
    <w:rsid w:val="00A25D39"/>
    <w:rsid w:val="00A45FA5"/>
    <w:rsid w:val="00A50588"/>
    <w:rsid w:val="00A55BAC"/>
    <w:rsid w:val="00A63B90"/>
    <w:rsid w:val="00A6409B"/>
    <w:rsid w:val="00A6601D"/>
    <w:rsid w:val="00A67690"/>
    <w:rsid w:val="00A73FF0"/>
    <w:rsid w:val="00A8169D"/>
    <w:rsid w:val="00A82D53"/>
    <w:rsid w:val="00A84811"/>
    <w:rsid w:val="00A85476"/>
    <w:rsid w:val="00A854AE"/>
    <w:rsid w:val="00A93FF1"/>
    <w:rsid w:val="00AA0F61"/>
    <w:rsid w:val="00AA677E"/>
    <w:rsid w:val="00AB1CD0"/>
    <w:rsid w:val="00AC7D8D"/>
    <w:rsid w:val="00AD51E8"/>
    <w:rsid w:val="00B00E92"/>
    <w:rsid w:val="00B02996"/>
    <w:rsid w:val="00B20682"/>
    <w:rsid w:val="00B23A34"/>
    <w:rsid w:val="00B3019C"/>
    <w:rsid w:val="00B4066B"/>
    <w:rsid w:val="00B43D82"/>
    <w:rsid w:val="00B735DF"/>
    <w:rsid w:val="00BA2DAC"/>
    <w:rsid w:val="00BA4CFC"/>
    <w:rsid w:val="00BB4412"/>
    <w:rsid w:val="00BC18BA"/>
    <w:rsid w:val="00BC7CDA"/>
    <w:rsid w:val="00BE1734"/>
    <w:rsid w:val="00C02FCB"/>
    <w:rsid w:val="00C05775"/>
    <w:rsid w:val="00C06E66"/>
    <w:rsid w:val="00C143DC"/>
    <w:rsid w:val="00C14E6C"/>
    <w:rsid w:val="00C17A0D"/>
    <w:rsid w:val="00C24F52"/>
    <w:rsid w:val="00C32794"/>
    <w:rsid w:val="00C51BFB"/>
    <w:rsid w:val="00CA6F1A"/>
    <w:rsid w:val="00CB0B09"/>
    <w:rsid w:val="00CC17C2"/>
    <w:rsid w:val="00CD683F"/>
    <w:rsid w:val="00CE7447"/>
    <w:rsid w:val="00CF0AB8"/>
    <w:rsid w:val="00CF74A7"/>
    <w:rsid w:val="00D37BC2"/>
    <w:rsid w:val="00D37D6B"/>
    <w:rsid w:val="00D56A6D"/>
    <w:rsid w:val="00D60595"/>
    <w:rsid w:val="00D61316"/>
    <w:rsid w:val="00D73750"/>
    <w:rsid w:val="00D80A66"/>
    <w:rsid w:val="00D80C89"/>
    <w:rsid w:val="00D843C7"/>
    <w:rsid w:val="00D928E0"/>
    <w:rsid w:val="00D940AD"/>
    <w:rsid w:val="00DB75C6"/>
    <w:rsid w:val="00DC2E81"/>
    <w:rsid w:val="00DC56DC"/>
    <w:rsid w:val="00DE5C9D"/>
    <w:rsid w:val="00DF188D"/>
    <w:rsid w:val="00DF6697"/>
    <w:rsid w:val="00E0288B"/>
    <w:rsid w:val="00E02A80"/>
    <w:rsid w:val="00E134BA"/>
    <w:rsid w:val="00E21ED9"/>
    <w:rsid w:val="00E263AA"/>
    <w:rsid w:val="00E4604C"/>
    <w:rsid w:val="00E6166E"/>
    <w:rsid w:val="00E7676B"/>
    <w:rsid w:val="00E822F6"/>
    <w:rsid w:val="00E85FF7"/>
    <w:rsid w:val="00EB47C8"/>
    <w:rsid w:val="00EB7456"/>
    <w:rsid w:val="00EC34FE"/>
    <w:rsid w:val="00ED34E5"/>
    <w:rsid w:val="00F02366"/>
    <w:rsid w:val="00F267D0"/>
    <w:rsid w:val="00F347E4"/>
    <w:rsid w:val="00F46AE1"/>
    <w:rsid w:val="00F545B6"/>
    <w:rsid w:val="00F66951"/>
    <w:rsid w:val="00F71D5B"/>
    <w:rsid w:val="00F86F44"/>
    <w:rsid w:val="00FC25AE"/>
    <w:rsid w:val="00FD2FE7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62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9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409B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A6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6409B"/>
  </w:style>
  <w:style w:type="paragraph" w:styleId="BalloonText">
    <w:name w:val="Balloon Text"/>
    <w:basedOn w:val="Normal"/>
    <w:link w:val="BalloonTextChar"/>
    <w:uiPriority w:val="99"/>
    <w:semiHidden/>
    <w:unhideWhenUsed/>
    <w:rsid w:val="00A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DE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2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AE"/>
  </w:style>
  <w:style w:type="table" w:customStyle="1" w:styleId="TableGrid1">
    <w:name w:val="Table Grid1"/>
    <w:basedOn w:val="TableNormal"/>
    <w:next w:val="TableGrid"/>
    <w:uiPriority w:val="59"/>
    <w:rsid w:val="00FC25A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7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8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8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9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409B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A6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6409B"/>
  </w:style>
  <w:style w:type="paragraph" w:styleId="BalloonText">
    <w:name w:val="Balloon Text"/>
    <w:basedOn w:val="Normal"/>
    <w:link w:val="BalloonTextChar"/>
    <w:uiPriority w:val="99"/>
    <w:semiHidden/>
    <w:unhideWhenUsed/>
    <w:rsid w:val="00A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DE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2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AE"/>
  </w:style>
  <w:style w:type="table" w:customStyle="1" w:styleId="TableGrid1">
    <w:name w:val="Table Grid1"/>
    <w:basedOn w:val="TableNormal"/>
    <w:next w:val="TableGrid"/>
    <w:uiPriority w:val="59"/>
    <w:rsid w:val="00FC25A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7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8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8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ad85e1e3-80ab-4bd0-863e-8e3eb6319249">
      <Url xsi:nil="true"/>
      <Description xsi:nil="true"/>
    </Link>
    <Description0 xmlns="ad85e1e3-80ab-4bd0-863e-8e3eb63192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7770D70FD5F4A881FE28274FCD168" ma:contentTypeVersion="2" ma:contentTypeDescription="Create a new document." ma:contentTypeScope="" ma:versionID="35ab783db90952b5a8cd7526413e7331">
  <xsd:schema xmlns:xsd="http://www.w3.org/2001/XMLSchema" xmlns:xs="http://www.w3.org/2001/XMLSchema" xmlns:p="http://schemas.microsoft.com/office/2006/metadata/properties" xmlns:ns2="ad85e1e3-80ab-4bd0-863e-8e3eb6319249" targetNamespace="http://schemas.microsoft.com/office/2006/metadata/properties" ma:root="true" ma:fieldsID="b70791246379ca30578bd36d409d352d" ns2:_="">
    <xsd:import namespace="ad85e1e3-80ab-4bd0-863e-8e3eb63192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5e1e3-80ab-4bd0-863e-8e3eb631924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79B0-B71A-4E75-A7BE-F5729486EF1F}">
  <ds:schemaRefs>
    <ds:schemaRef ds:uri="http://schemas.microsoft.com/office/2006/metadata/properties"/>
    <ds:schemaRef ds:uri="http://schemas.microsoft.com/office/infopath/2007/PartnerControls"/>
    <ds:schemaRef ds:uri="ad85e1e3-80ab-4bd0-863e-8e3eb6319249"/>
  </ds:schemaRefs>
</ds:datastoreItem>
</file>

<file path=customXml/itemProps2.xml><?xml version="1.0" encoding="utf-8"?>
<ds:datastoreItem xmlns:ds="http://schemas.openxmlformats.org/officeDocument/2006/customXml" ds:itemID="{5AA2EBC9-7D89-43EC-85F1-61588BC4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5e1e3-80ab-4bd0-863e-8e3eb6319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95844-FC9C-4869-8726-68B525670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D97C8-4BF9-453C-B5E4-77E12D4E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Mukuka Mulenga</dc:creator>
  <cp:lastModifiedBy>Tom Downey</cp:lastModifiedBy>
  <cp:revision>2</cp:revision>
  <cp:lastPrinted>2019-01-23T14:25:00Z</cp:lastPrinted>
  <dcterms:created xsi:type="dcterms:W3CDTF">2019-03-02T11:39:00Z</dcterms:created>
  <dcterms:modified xsi:type="dcterms:W3CDTF">2019-03-02T11:39:00Z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0x0101008507770D70FD5F4A881FE28274FCD168</vt:lpwstr>
  </property>
</Properties>
</file>